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1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125"/>
        <w:gridCol w:w="1125"/>
        <w:gridCol w:w="780"/>
        <w:gridCol w:w="105"/>
        <w:gridCol w:w="1455"/>
        <w:gridCol w:w="255"/>
        <w:gridCol w:w="255"/>
        <w:gridCol w:w="255"/>
        <w:gridCol w:w="435"/>
        <w:gridCol w:w="105"/>
        <w:gridCol w:w="270"/>
        <w:gridCol w:w="1155"/>
        <w:gridCol w:w="1155"/>
        <w:gridCol w:w="1155"/>
        <w:tblGridChange w:id="0">
          <w:tblGrid>
            <w:gridCol w:w="1080"/>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5- Trace Evidence, Ballistics, and Impressions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36-80 min blocks (6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Trace Evidence examination is often challenged in court for its uncertainty. Nonetheless, characterization of hair and fiber evidence has played an important role in providing investigative leads in many criminal cases. It is not to be replaced in its entirety by DNA analysis, but to be used complementarity with other disciplines and technology in forensic science. Just as natural variations in skin ridge patterns and characteristics provide a key to human identification,minute random markings on surfaces can impart individuality to inanimate objects. Structural variations and irregularities caused by scratches, nicks, breaks,and wear permit the criminalist to relate a bullet to a gun; a scratch or abrasion mark to a single tool; or a tire track to a particular automobile. Individualization, so vigorously pursued in all other areas of Criminalistics,is frequently attainable in firearms and tool examination.</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469.4140625"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hair is a form of class evidence if no follicle is present.</w:t>
            </w:r>
          </w:p>
          <w:p w:rsidR="00000000" w:rsidDel="00000000" w:rsidP="00000000" w:rsidRDefault="00000000" w:rsidRPr="00000000" w14:paraId="00000045">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follicle of a human hair contains DNA.</w:t>
            </w:r>
          </w:p>
          <w:p w:rsidR="00000000" w:rsidDel="00000000" w:rsidP="00000000" w:rsidRDefault="00000000" w:rsidRPr="00000000" w14:paraId="00000046">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function of hair is to help regulate body temperature.</w:t>
            </w:r>
          </w:p>
          <w:p w:rsidR="00000000" w:rsidDel="00000000" w:rsidP="00000000" w:rsidRDefault="00000000" w:rsidRPr="00000000" w14:paraId="00000047">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Fibers are classified as natural or synthetic.</w:t>
            </w:r>
          </w:p>
          <w:p w:rsidR="00000000" w:rsidDel="00000000" w:rsidP="00000000" w:rsidRDefault="00000000" w:rsidRPr="00000000" w14:paraId="00000048">
            <w:pPr>
              <w:numPr>
                <w:ilvl w:val="0"/>
                <w:numId w:val="1"/>
              </w:numPr>
              <w:spacing w:after="40" w:before="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Textiles refer to the weaving patterns of fibers.</w:t>
            </w:r>
          </w:p>
          <w:p w:rsidR="00000000" w:rsidDel="00000000" w:rsidP="00000000" w:rsidRDefault="00000000" w:rsidRPr="00000000" w14:paraId="00000049">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objects leave impressions that can be used as trace evidence</w:t>
            </w:r>
          </w:p>
          <w:p w:rsidR="00000000" w:rsidDel="00000000" w:rsidP="00000000" w:rsidRDefault="00000000" w:rsidRPr="00000000" w14:paraId="0000004A">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types of firearms have unique characteristics.</w:t>
            </w:r>
          </w:p>
          <w:p w:rsidR="00000000" w:rsidDel="00000000" w:rsidP="00000000" w:rsidRDefault="00000000" w:rsidRPr="00000000" w14:paraId="0000004B">
            <w:pPr>
              <w:numPr>
                <w:ilvl w:val="0"/>
                <w:numId w:val="1"/>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Spent cartridges and bullets can be matched with specific firearms used in crimes</w:t>
            </w:r>
          </w:p>
          <w:p w:rsidR="00000000" w:rsidDel="00000000" w:rsidP="00000000" w:rsidRDefault="00000000" w:rsidRPr="00000000" w14:paraId="0000004C">
            <w:pPr>
              <w:numPr>
                <w:ilvl w:val="0"/>
                <w:numId w:val="1"/>
              </w:numPr>
              <w:spacing w:after="40" w:before="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There are procedures that can determine if an individual fired a weapon.</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hair used in a criminal investigation?</w:t>
            </w:r>
          </w:p>
          <w:p w:rsidR="00000000" w:rsidDel="00000000" w:rsidP="00000000" w:rsidRDefault="00000000" w:rsidRPr="00000000" w14:paraId="00000055">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fibers be used as circumstantial evidence to provide links to the victim, suspect, and the crime scene?</w:t>
            </w:r>
          </w:p>
          <w:p w:rsidR="00000000" w:rsidDel="00000000" w:rsidP="00000000" w:rsidRDefault="00000000" w:rsidRPr="00000000" w14:paraId="00000056">
            <w:pPr>
              <w:numPr>
                <w:ilvl w:val="0"/>
                <w:numId w:val="7"/>
              </w:numPr>
              <w:spacing w:before="4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fiber evidence not always conclusive with suspect identification?</w:t>
            </w:r>
          </w:p>
          <w:p w:rsidR="00000000" w:rsidDel="00000000" w:rsidP="00000000" w:rsidRDefault="00000000" w:rsidRPr="00000000" w14:paraId="00000057">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scientists tell that a specific tool created a mark, not one like it?</w:t>
            </w:r>
          </w:p>
          <w:p w:rsidR="00000000" w:rsidDel="00000000" w:rsidP="00000000" w:rsidRDefault="00000000" w:rsidRPr="00000000" w14:paraId="00000058">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different types of impressions used in forensic investigations?</w:t>
            </w:r>
          </w:p>
          <w:p w:rsidR="00000000" w:rsidDel="00000000" w:rsidP="00000000" w:rsidRDefault="00000000" w:rsidRPr="00000000" w14:paraId="00000059">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they might seem easy to cover up, why might foot prints, bite marks and tire tracks be difficult to conceal?</w:t>
            </w:r>
          </w:p>
          <w:p w:rsidR="00000000" w:rsidDel="00000000" w:rsidP="00000000" w:rsidRDefault="00000000" w:rsidRPr="00000000" w14:paraId="0000005A">
            <w:pPr>
              <w:numPr>
                <w:ilvl w:val="0"/>
                <w:numId w:val="7"/>
              </w:numPr>
              <w:spacing w:after="4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 unique characteristics of firearms important to criminal investigations?</w:t>
            </w:r>
            <w:r w:rsidDel="00000000" w:rsidR="00000000" w:rsidRPr="00000000">
              <w:rPr>
                <w:rtl w:val="0"/>
              </w:rPr>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63">
            <w:pPr>
              <w:jc w:val="center"/>
              <w:rPr>
                <w:rFonts w:ascii="Times New Roman" w:cs="Times New Roman" w:eastAsia="Times New Roman" w:hAnsi="Times New Roman"/>
                <w:i w:val="1"/>
                <w:color w:val="0000ff"/>
              </w:rPr>
            </w:pPr>
            <w:r w:rsidDel="00000000" w:rsidR="00000000" w:rsidRPr="00000000">
              <w:rPr>
                <w:rFonts w:ascii="Times New Roman" w:cs="Times New Roman" w:eastAsia="Times New Roman" w:hAnsi="Times New Roman"/>
                <w:b w:val="1"/>
                <w:rtl w:val="0"/>
              </w:rPr>
              <w:t xml:space="preserve">Student Learning Objectives</w:t>
            </w: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2">
            <w:pPr>
              <w:jc w:val="center"/>
              <w:rPr>
                <w:rFonts w:ascii="Times New Roman" w:cs="Times New Roman" w:eastAsia="Times New Roman" w:hAnsi="Times New Roman"/>
                <w:i w:val="1"/>
                <w:color w:val="0070c0"/>
              </w:rPr>
            </w:pPr>
            <w:hyperlink r:id="rId6">
              <w:r w:rsidDel="00000000" w:rsidR="00000000" w:rsidRPr="00000000">
                <w:rPr>
                  <w:rFonts w:ascii="Times New Roman" w:cs="Times New Roman" w:eastAsia="Times New Roman" w:hAnsi="Times New Roman"/>
                  <w:i w:val="1"/>
                  <w:color w:val="0000ff"/>
                  <w:rtl w:val="0"/>
                </w:rPr>
                <w:t xml:space="preserve">What students should be able to do after instruction.</w:t>
              </w:r>
            </w:hyperlink>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i w:val="1"/>
                  <w:color w:val="0000ff"/>
                  <w:rtl w:val="0"/>
                </w:rPr>
                <w:t xml:space="preserve">Evidence Statements</w:t>
              </w:r>
            </w:hyperlink>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8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various parts of hair</w:t>
            </w:r>
          </w:p>
        </w:tc>
        <w:tc>
          <w:tcPr>
            <w:gridSpan w:val="3"/>
            <w:vAlign w:val="center"/>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9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variations in the structure of the medulla, cortex, and cuticle </w:t>
            </w:r>
          </w:p>
        </w:tc>
        <w:tc>
          <w:tcPr>
            <w:gridSpan w:val="3"/>
            <w:vAlign w:val="center"/>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A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human and nonhuman animal hair</w:t>
            </w:r>
          </w:p>
        </w:tc>
        <w:tc>
          <w:tcPr>
            <w:gridSpan w:val="3"/>
            <w:vAlign w:val="center"/>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B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hair can be used in a forensic investigation.</w:t>
            </w:r>
          </w:p>
        </w:tc>
        <w:tc>
          <w:tcPr>
            <w:gridSpan w:val="3"/>
            <w:vAlign w:val="cente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C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medullary index for a hair</w:t>
            </w:r>
          </w:p>
        </w:tc>
        <w:tc>
          <w:tcPr>
            <w:gridSpan w:val="3"/>
            <w:vAlign w:val="center"/>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D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hairs from individuals belonging to the broad racial categories</w:t>
            </w:r>
          </w:p>
        </w:tc>
        <w:tc>
          <w:tcPr>
            <w:gridSpan w:val="3"/>
            <w:vAlign w:val="center"/>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E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if two examples of hair are likely to be from the same person. </w:t>
            </w:r>
          </w:p>
        </w:tc>
        <w:tc>
          <w:tcPr>
            <w:gridSpan w:val="3"/>
            <w:vAlign w:val="center"/>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F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describe common weave patterns of textile samples</w:t>
            </w:r>
          </w:p>
        </w:tc>
        <w:tc>
          <w:tcPr>
            <w:gridSpan w:val="3"/>
            <w:vAlign w:val="center"/>
          </w:tcPr>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0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various types of fibers through physical and chemical analysis.</w:t>
            </w:r>
          </w:p>
        </w:tc>
        <w:tc>
          <w:tcPr>
            <w:gridSpan w:val="3"/>
            <w:vAlign w:val="center"/>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1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principal characteristics of common fibers used in their identification.</w:t>
            </w:r>
          </w:p>
        </w:tc>
        <w:tc>
          <w:tcPr>
            <w:gridSpan w:val="3"/>
            <w:vAlign w:val="center"/>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HS-LS1-1</w:t>
            </w:r>
          </w:p>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12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latent, patent, and plastic impressions</w:t>
            </w:r>
          </w:p>
        </w:tc>
        <w:tc>
          <w:tcPr>
            <w:gridSpan w:val="3"/>
            <w:vAlign w:val="center"/>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3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various types of impressions can be used as trace evidence</w:t>
            </w:r>
          </w:p>
        </w:tc>
        <w:tc>
          <w:tcPr>
            <w:gridSpan w:val="3"/>
            <w:vAlign w:val="center"/>
          </w:tcPr>
          <w:p w:rsidR="00000000" w:rsidDel="00000000" w:rsidP="00000000" w:rsidRDefault="00000000" w:rsidRPr="00000000" w14:paraId="000001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4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track width and wheelbase information to identify a motor vehicle</w:t>
            </w:r>
          </w:p>
        </w:tc>
        <w:tc>
          <w:tcPr>
            <w:gridSpan w:val="3"/>
            <w:vAlign w:val="center"/>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significance of tool mark impressions in criminal investigations</w:t>
            </w:r>
          </w:p>
        </w:tc>
        <w:tc>
          <w:tcPr>
            <w:gridSpan w:val="3"/>
            <w:vAlign w:val="center"/>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three major types of tool mark impressions</w:t>
            </w:r>
          </w:p>
        </w:tc>
        <w:tc>
          <w:tcPr>
            <w:gridSpan w:val="3"/>
            <w:vAlign w:val="center"/>
          </w:tcPr>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variations in tool surface characteristics that are used to identify individual tools</w:t>
            </w:r>
          </w:p>
        </w:tc>
        <w:tc>
          <w:tcPr>
            <w:gridSpan w:val="3"/>
            <w:vAlign w:val="center"/>
          </w:tcPr>
          <w:p w:rsidR="00000000" w:rsidDel="00000000" w:rsidP="00000000" w:rsidRDefault="00000000" w:rsidRPr="00000000" w14:paraId="000001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8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Match tool marks with the instrument used to create same</w:t>
            </w:r>
          </w:p>
        </w:tc>
        <w:tc>
          <w:tcPr>
            <w:gridSpan w:val="3"/>
            <w:vAlign w:val="center"/>
          </w:tcPr>
          <w:p w:rsidR="00000000" w:rsidDel="00000000" w:rsidP="00000000" w:rsidRDefault="00000000" w:rsidRPr="00000000" w14:paraId="000001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9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tool mark evidence is collected, preserved and documented</w:t>
            </w:r>
          </w:p>
        </w:tc>
        <w:tc>
          <w:tcPr>
            <w:gridSpan w:val="3"/>
            <w:vAlign w:val="center"/>
          </w:tcPr>
          <w:p w:rsidR="00000000" w:rsidDel="00000000" w:rsidP="00000000" w:rsidRDefault="00000000" w:rsidRPr="00000000" w14:paraId="000001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HS-ETS1-2</w:t>
            </w:r>
          </w:p>
          <w:p w:rsidR="00000000" w:rsidDel="00000000" w:rsidP="00000000" w:rsidRDefault="00000000" w:rsidRPr="00000000" w14:paraId="000001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r>
      <w:tr>
        <w:trPr>
          <w:cantSplit w:val="0"/>
          <w:trHeight w:val="491" w:hRule="atLeast"/>
          <w:tblHeader w:val="0"/>
        </w:trPr>
        <w:tc>
          <w:tcPr>
            <w:gridSpan w:val="12"/>
            <w:vAlign w:val="center"/>
          </w:tcPr>
          <w:p w:rsidR="00000000" w:rsidDel="00000000" w:rsidP="00000000" w:rsidRDefault="00000000" w:rsidRPr="00000000" w14:paraId="000001A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rifling on a gun barrel and explain how it marks a bullet  </w:t>
            </w:r>
          </w:p>
        </w:tc>
        <w:tc>
          <w:tcPr>
            <w:gridSpan w:val="3"/>
            <w:vAlign w:val="center"/>
          </w:tcPr>
          <w:p w:rsidR="00000000" w:rsidDel="00000000" w:rsidP="00000000" w:rsidRDefault="00000000" w:rsidRPr="00000000" w14:paraId="000001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HS-PS2-1</w:t>
            </w:r>
          </w:p>
          <w:p w:rsidR="00000000" w:rsidDel="00000000" w:rsidP="00000000" w:rsidRDefault="00000000" w:rsidRPr="00000000" w14:paraId="000001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HS-PS2-2</w:t>
            </w:r>
          </w:p>
          <w:p w:rsidR="00000000" w:rsidDel="00000000" w:rsidP="00000000" w:rsidRDefault="00000000" w:rsidRPr="00000000" w14:paraId="000001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HS-PS2-3</w:t>
            </w:r>
          </w:p>
        </w:tc>
      </w:tr>
      <w:tr>
        <w:trPr>
          <w:cantSplit w:val="0"/>
          <w:trHeight w:val="491" w:hRule="atLeast"/>
          <w:tblHeader w:val="0"/>
        </w:trPr>
        <w:tc>
          <w:tcPr>
            <w:gridSpan w:val="12"/>
            <w:vAlign w:val="center"/>
          </w:tcPr>
          <w:p w:rsidR="00000000" w:rsidDel="00000000" w:rsidP="00000000" w:rsidRDefault="00000000" w:rsidRPr="00000000" w14:paraId="000001B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barrel size and caliber</w:t>
            </w:r>
          </w:p>
        </w:tc>
        <w:tc>
          <w:tcPr>
            <w:gridSpan w:val="3"/>
            <w:vAlign w:val="center"/>
          </w:tcPr>
          <w:p w:rsidR="00000000" w:rsidDel="00000000" w:rsidP="00000000" w:rsidRDefault="00000000" w:rsidRPr="00000000" w14:paraId="000001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HS-PS2-1</w:t>
            </w:r>
          </w:p>
          <w:p w:rsidR="00000000" w:rsidDel="00000000" w:rsidP="00000000" w:rsidRDefault="00000000" w:rsidRPr="00000000" w14:paraId="000001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HS-PS2-2</w:t>
            </w:r>
          </w:p>
          <w:p w:rsidR="00000000" w:rsidDel="00000000" w:rsidP="00000000" w:rsidRDefault="00000000" w:rsidRPr="00000000" w14:paraId="000001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HS-PS2-3</w:t>
            </w:r>
          </w:p>
        </w:tc>
      </w:tr>
      <w:tr>
        <w:trPr>
          <w:cantSplit w:val="0"/>
          <w:trHeight w:val="491" w:hRule="atLeast"/>
          <w:tblHeader w:val="0"/>
        </w:trPr>
        <w:tc>
          <w:tcPr>
            <w:gridSpan w:val="12"/>
            <w:vAlign w:val="center"/>
          </w:tcPr>
          <w:p w:rsidR="00000000" w:rsidDel="00000000" w:rsidP="00000000" w:rsidRDefault="00000000" w:rsidRPr="00000000" w14:paraId="000001C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bullets are test fired and matched</w:t>
            </w:r>
          </w:p>
        </w:tc>
        <w:tc>
          <w:tcPr>
            <w:gridSpan w:val="3"/>
            <w:vAlign w:val="center"/>
          </w:tcPr>
          <w:p w:rsidR="00000000" w:rsidDel="00000000" w:rsidP="00000000" w:rsidRDefault="00000000" w:rsidRPr="00000000" w14:paraId="000001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HS-PS2-1</w:t>
            </w:r>
          </w:p>
          <w:p w:rsidR="00000000" w:rsidDel="00000000" w:rsidP="00000000" w:rsidRDefault="00000000" w:rsidRPr="00000000" w14:paraId="000001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HS-PS2-2</w:t>
            </w:r>
          </w:p>
          <w:p w:rsidR="00000000" w:rsidDel="00000000" w:rsidP="00000000" w:rsidRDefault="00000000" w:rsidRPr="00000000" w14:paraId="000001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HS-PS2-3</w:t>
            </w:r>
          </w:p>
        </w:tc>
      </w:tr>
      <w:tr>
        <w:trPr>
          <w:cantSplit w:val="0"/>
          <w:trHeight w:val="491" w:hRule="atLeast"/>
          <w:tblHeader w:val="0"/>
        </w:trPr>
        <w:tc>
          <w:tcPr>
            <w:gridSpan w:val="12"/>
            <w:vAlign w:val="center"/>
          </w:tcPr>
          <w:p w:rsidR="00000000" w:rsidDel="00000000" w:rsidP="00000000" w:rsidRDefault="00000000" w:rsidRPr="00000000" w14:paraId="000001D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role of ballistics recovery and examination at a crime scene</w:t>
            </w:r>
          </w:p>
        </w:tc>
        <w:tc>
          <w:tcPr>
            <w:gridSpan w:val="3"/>
            <w:vAlign w:val="center"/>
          </w:tcPr>
          <w:p w:rsidR="00000000" w:rsidDel="00000000" w:rsidP="00000000" w:rsidRDefault="00000000" w:rsidRPr="00000000" w14:paraId="000001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HS-PS2-1</w:t>
            </w:r>
          </w:p>
          <w:p w:rsidR="00000000" w:rsidDel="00000000" w:rsidP="00000000" w:rsidRDefault="00000000" w:rsidRPr="00000000" w14:paraId="000001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HS-PS2-2</w:t>
            </w:r>
          </w:p>
          <w:p w:rsidR="00000000" w:rsidDel="00000000" w:rsidP="00000000" w:rsidRDefault="00000000" w:rsidRPr="00000000" w14:paraId="000001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HS-PS2-3</w:t>
            </w:r>
          </w:p>
        </w:tc>
      </w:tr>
      <w:tr>
        <w:trPr>
          <w:cantSplit w:val="0"/>
          <w:trHeight w:val="491" w:hRule="atLeast"/>
          <w:tblHeader w:val="0"/>
        </w:trPr>
        <w:tc>
          <w:tcPr>
            <w:gridSpan w:val="12"/>
            <w:vAlign w:val="center"/>
          </w:tcPr>
          <w:p w:rsidR="00000000" w:rsidDel="00000000" w:rsidP="00000000" w:rsidRDefault="00000000" w:rsidRPr="00000000" w14:paraId="000001E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position of the shooter based on bullet trajectory </w:t>
            </w:r>
          </w:p>
        </w:tc>
        <w:tc>
          <w:tcPr>
            <w:gridSpan w:val="3"/>
            <w:vAlign w:val="center"/>
          </w:tcPr>
          <w:p w:rsidR="00000000" w:rsidDel="00000000" w:rsidP="00000000" w:rsidRDefault="00000000" w:rsidRPr="00000000" w14:paraId="000001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HS-PS2-1</w:t>
            </w:r>
          </w:p>
          <w:p w:rsidR="00000000" w:rsidDel="00000000" w:rsidP="00000000" w:rsidRDefault="00000000" w:rsidRPr="00000000" w14:paraId="000001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HS-PS2-2</w:t>
            </w:r>
          </w:p>
          <w:p w:rsidR="00000000" w:rsidDel="00000000" w:rsidP="00000000" w:rsidRDefault="00000000" w:rsidRPr="00000000" w14:paraId="000001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HS-PS2-3</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1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Student Learning Objectives above were developed using </w:t>
            </w:r>
            <w:hyperlink r:id="rId8">
              <w:r w:rsidDel="00000000" w:rsidR="00000000" w:rsidRPr="00000000">
                <w:rPr>
                  <w:rFonts w:ascii="Times New Roman" w:cs="Times New Roman" w:eastAsia="Times New Roman" w:hAnsi="Times New Roman"/>
                  <w:rtl w:val="0"/>
                </w:rPr>
                <w:t xml:space="preserve">the following elements from the NRC document</w:t>
              </w:r>
            </w:hyperlink>
            <w:hyperlink r:id="rId9">
              <w:r w:rsidDel="00000000" w:rsidR="00000000" w:rsidRPr="00000000">
                <w:rPr>
                  <w:rFonts w:ascii="Times New Roman" w:cs="Times New Roman" w:eastAsia="Times New Roman" w:hAnsi="Times New Roman"/>
                  <w:color w:val="cc3300"/>
                  <w:rtl w:val="0"/>
                </w:rPr>
                <w:t xml:space="preserve">            </w:t>
              </w:r>
            </w:hyperlink>
            <w:hyperlink r:id="rId10">
              <w:r w:rsidDel="00000000" w:rsidR="00000000" w:rsidRPr="00000000">
                <w:rPr>
                  <w:rFonts w:ascii="Times New Roman" w:cs="Times New Roman" w:eastAsia="Times New Roman" w:hAnsi="Times New Roman"/>
                  <w:i w:val="1"/>
                  <w:color w:val="0000ff"/>
                  <w:rtl w:val="0"/>
                </w:rPr>
                <w:t xml:space="preserve">A Framework for K-12 Science Education</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91" w:hRule="atLeast"/>
          <w:tblHeader w:val="0"/>
        </w:trPr>
        <w:tc>
          <w:tcPr>
            <w:gridSpan w:val="5"/>
            <w:shd w:fill="8db3e2" w:val="clear"/>
            <w:vAlign w:val="center"/>
          </w:tcPr>
          <w:p w:rsidR="00000000" w:rsidDel="00000000" w:rsidP="00000000" w:rsidRDefault="00000000" w:rsidRPr="00000000" w14:paraId="000002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and Engineering Practices</w:t>
            </w:r>
            <w:r w:rsidDel="00000000" w:rsidR="00000000" w:rsidRPr="00000000">
              <w:rPr>
                <w:rtl w:val="0"/>
              </w:rPr>
            </w:r>
          </w:p>
        </w:tc>
        <w:tc>
          <w:tcPr>
            <w:gridSpan w:val="5"/>
            <w:shd w:fill="ffc000" w:val="clear"/>
            <w:vAlign w:val="center"/>
          </w:tcPr>
          <w:p w:rsidR="00000000" w:rsidDel="00000000" w:rsidP="00000000" w:rsidRDefault="00000000" w:rsidRPr="00000000" w14:paraId="000002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Disciplinary Core Ideas</w:t>
            </w:r>
            <w:r w:rsidDel="00000000" w:rsidR="00000000" w:rsidRPr="00000000">
              <w:rPr>
                <w:rtl w:val="0"/>
              </w:rPr>
            </w:r>
          </w:p>
        </w:tc>
        <w:tc>
          <w:tcPr>
            <w:gridSpan w:val="5"/>
            <w:shd w:fill="92d050" w:val="clear"/>
            <w:vAlign w:val="center"/>
          </w:tcPr>
          <w:p w:rsidR="00000000" w:rsidDel="00000000" w:rsidP="00000000" w:rsidRDefault="00000000" w:rsidRPr="00000000" w14:paraId="000002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Crosscutting Concepts</w:t>
            </w:r>
          </w:p>
        </w:tc>
      </w:tr>
      <w:tr>
        <w:trPr>
          <w:cantSplit w:val="0"/>
          <w:trHeight w:val="491" w:hRule="atLeast"/>
          <w:tblHeader w:val="0"/>
        </w:trPr>
        <w:tc>
          <w:tcPr>
            <w:gridSpan w:val="5"/>
            <w:vAlign w:val="center"/>
          </w:tcPr>
          <w:p w:rsidR="00000000" w:rsidDel="00000000" w:rsidP="00000000" w:rsidRDefault="00000000" w:rsidRPr="00000000" w14:paraId="000002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Planning and Carrying Out Investigations:</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w:t>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Constructing Explanations and Designing Solutions:</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(HS-LS1-1) </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 6),(HS-LS2-3)</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Using Mathematics and Computational Thinking</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mathematical representations of phenomena or design solutions to support claims. (HS-LS2-4)</w:t>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Engaging in Argument from Evidence</w:t>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claims, evidence, and reasoning behind currently accepted explanations or solutions to determine the merits of arguments. (HS-LS2-6)</w:t>
            </w:r>
          </w:p>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evidence behind currently accepted explanations or solutions to determine the merits of arguments. (HS-LS2-8)</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Analyzing and Interpreting Data:</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concepts of statistics and probability (including determining function fits to data, slope, intercept, and correlation coefficient for linear fits) to scientific and engineering questions and problems, using digital tools when feasible. (HS-LS3-3)</w:t>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Obtaining, Evaluating, and Communicating Information:</w:t>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scientific information (e.g., about phenomena and/or the process of development and the design and performance of a proposed process or system) in multiple formats (including orally, graphically, textually, and mathematically). (HS-LS4-1)</w:t>
            </w:r>
          </w:p>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231">
            <w:pPr>
              <w:numPr>
                <w:ilvl w:val="0"/>
                <w:numId w:val="8"/>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LS1: From Molecules to Organisms: Structures and Processes</w:t>
            </w:r>
          </w:p>
          <w:p w:rsidR="00000000" w:rsidDel="00000000" w:rsidP="00000000" w:rsidRDefault="00000000" w:rsidRPr="00000000" w14:paraId="00000232">
            <w:pPr>
              <w:numPr>
                <w:ilvl w:val="0"/>
                <w:numId w:val="8"/>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LS3: Heredity: Inheritance and Variation of Traits</w:t>
            </w:r>
          </w:p>
          <w:p w:rsidR="00000000" w:rsidDel="00000000" w:rsidP="00000000" w:rsidRDefault="00000000" w:rsidRPr="00000000" w14:paraId="00000233">
            <w:pPr>
              <w:numPr>
                <w:ilvl w:val="0"/>
                <w:numId w:val="8"/>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PS2.A: Forces and Motion</w:t>
            </w:r>
          </w:p>
          <w:p w:rsidR="00000000" w:rsidDel="00000000" w:rsidP="00000000" w:rsidRDefault="00000000" w:rsidRPr="00000000" w14:paraId="00000234">
            <w:pPr>
              <w:numPr>
                <w:ilvl w:val="0"/>
                <w:numId w:val="8"/>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S1.B: Developing Possible Solutions</w:t>
            </w:r>
          </w:p>
          <w:p w:rsidR="00000000" w:rsidDel="00000000" w:rsidP="00000000" w:rsidRDefault="00000000" w:rsidRPr="00000000" w14:paraId="00000235">
            <w:pPr>
              <w:ind w:left="720" w:firstLine="0"/>
              <w:rPr>
                <w:rFonts w:ascii="Times New Roman" w:cs="Times New Roman" w:eastAsia="Times New Roman" w:hAnsi="Times New Roman"/>
              </w:rPr>
            </w:pPr>
            <w:r w:rsidDel="00000000" w:rsidR="00000000" w:rsidRPr="00000000">
              <w:rPr>
                <w:rtl w:val="0"/>
              </w:rPr>
            </w:r>
          </w:p>
        </w:tc>
        <w:tc>
          <w:tcPr>
            <w:gridSpan w:val="5"/>
            <w:vAlign w:val="center"/>
          </w:tcPr>
          <w:p w:rsidR="00000000" w:rsidDel="00000000" w:rsidP="00000000" w:rsidRDefault="00000000" w:rsidRPr="00000000" w14:paraId="0000023A">
            <w:pPr>
              <w:numPr>
                <w:ilvl w:val="0"/>
                <w:numId w:val="9"/>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Patterns</w:t>
            </w:r>
          </w:p>
          <w:p w:rsidR="00000000" w:rsidDel="00000000" w:rsidP="00000000" w:rsidRDefault="00000000" w:rsidRPr="00000000" w14:paraId="0000023B">
            <w:pPr>
              <w:numPr>
                <w:ilvl w:val="1"/>
                <w:numId w:val="9"/>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patterns may be observed at each of the scales at which a system is studied and can provide evidence for causality in explanations of phenomena.</w:t>
            </w:r>
          </w:p>
          <w:p w:rsidR="00000000" w:rsidDel="00000000" w:rsidP="00000000" w:rsidRDefault="00000000" w:rsidRPr="00000000" w14:paraId="0000023C">
            <w:pPr>
              <w:numPr>
                <w:ilvl w:val="0"/>
                <w:numId w:val="9"/>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and effect </w:t>
            </w:r>
          </w:p>
          <w:p w:rsidR="00000000" w:rsidDel="00000000" w:rsidP="00000000" w:rsidRDefault="00000000" w:rsidRPr="00000000" w14:paraId="0000023D">
            <w:pPr>
              <w:numPr>
                <w:ilvl w:val="1"/>
                <w:numId w:val="9"/>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Empirical evidence is required to differentiate between cause and correlation and make claims about specific causes and effects. </w:t>
            </w:r>
          </w:p>
          <w:p w:rsidR="00000000" w:rsidDel="00000000" w:rsidP="00000000" w:rsidRDefault="00000000" w:rsidRPr="00000000" w14:paraId="0000023E">
            <w:pPr>
              <w:numPr>
                <w:ilvl w:val="0"/>
                <w:numId w:val="9"/>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 and function</w:t>
            </w:r>
          </w:p>
          <w:p w:rsidR="00000000" w:rsidDel="00000000" w:rsidP="00000000" w:rsidRDefault="00000000" w:rsidRPr="00000000" w14:paraId="0000023F">
            <w:pPr>
              <w:numPr>
                <w:ilvl w:val="1"/>
                <w:numId w:val="9"/>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Investigating or designing new systems or structures requires a detailed examination of the properties of different materials, the structures of different components, and connections of components to reveal its function and/or solve a problem.</w:t>
            </w:r>
          </w:p>
          <w:p w:rsidR="00000000" w:rsidDel="00000000" w:rsidP="00000000" w:rsidRDefault="00000000" w:rsidRPr="00000000" w14:paraId="00000240">
            <w:pPr>
              <w:spacing w:after="120" w:before="120" w:lineRule="auto"/>
              <w:ind w:right="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Connections to Nature of Science</w:t>
            </w:r>
          </w:p>
          <w:p w:rsidR="00000000" w:rsidDel="00000000" w:rsidP="00000000" w:rsidRDefault="00000000" w:rsidRPr="00000000" w14:paraId="00000241">
            <w:pPr>
              <w:spacing w:after="120" w:before="120" w:lineRule="auto"/>
              <w:ind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is a human endeavor </w:t>
            </w:r>
          </w:p>
          <w:p w:rsidR="00000000" w:rsidDel="00000000" w:rsidP="00000000" w:rsidRDefault="00000000" w:rsidRPr="00000000" w14:paraId="00000242">
            <w:pPr>
              <w:numPr>
                <w:ilvl w:val="0"/>
                <w:numId w:val="3"/>
              </w:numPr>
              <w:spacing w:after="120" w:before="120" w:lineRule="auto"/>
              <w:ind w:left="720" w:right="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advances have influenced the progress of science and science has influenced advances in technology.</w:t>
            </w:r>
          </w:p>
          <w:p w:rsidR="00000000" w:rsidDel="00000000" w:rsidP="00000000" w:rsidRDefault="00000000" w:rsidRPr="00000000" w14:paraId="00000243">
            <w:pPr>
              <w:numPr>
                <w:ilvl w:val="0"/>
                <w:numId w:val="9"/>
              </w:numPr>
              <w:spacing w:after="120" w:before="120" w:lineRule="auto"/>
              <w:ind w:left="360"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engineering are influenced by society and society is influenced by science and engineering.</w:t>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2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257">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258">
            <w:pPr>
              <w:spacing w:after="200"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59">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Performance Task 1: </w:t>
            </w:r>
            <w:r w:rsidDel="00000000" w:rsidR="00000000" w:rsidRPr="00000000">
              <w:rPr>
                <w:rFonts w:ascii="Times New Roman" w:cs="Times New Roman" w:eastAsia="Times New Roman" w:hAnsi="Times New Roman"/>
                <w:b w:val="1"/>
                <w:rtl w:val="0"/>
              </w:rPr>
              <w:t xml:space="preserve">Hair and Fiber Variability </w:t>
            </w:r>
            <w:r w:rsidDel="00000000" w:rsidR="00000000" w:rsidRPr="00000000">
              <w:rPr>
                <w:rFonts w:ascii="Times New Roman" w:cs="Times New Roman" w:eastAsia="Times New Roman" w:hAnsi="Times New Roman"/>
                <w:b w:val="1"/>
                <w:i w:val="1"/>
                <w:rtl w:val="0"/>
              </w:rPr>
              <w:t xml:space="preserve"> (approximately 4-80 min blocks)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5A">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effective demonstration of the variability of hair over the human scalp is to have your students compare at least six to eight hairs that have been wet-mounted. Upon completion of the examination, the class is asked to estimate the number of individuals that contributed to the hair collection. Of course, the collection consists of hair from only one individual. The instructor should compile at least 24 hair mounts from one person for this experiment. Additionally, each student is to examine his or her own scalp hair using a glycerin wet mount. Students should also be encouraged to bring in hair from household pets for examination.</w:t>
            </w:r>
          </w:p>
          <w:p w:rsidR="00000000" w:rsidDel="00000000" w:rsidP="00000000" w:rsidRDefault="00000000" w:rsidRPr="00000000" w14:paraId="0000025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Fibers.</w:t>
            </w:r>
            <w:r w:rsidDel="00000000" w:rsidR="00000000" w:rsidRPr="00000000">
              <w:rPr>
                <w:rFonts w:ascii="Times New Roman" w:cs="Times New Roman" w:eastAsia="Times New Roman" w:hAnsi="Times New Roman"/>
                <w:rtl w:val="0"/>
              </w:rPr>
              <w:t xml:space="preserve"> To demonstrate the difficulty of analyzing fiber evidence, find three or four scraps of different material and snip or pull several fiber samples from each. Each scrap should consist of a different type of fiber. At least some of the scraps should contain several different colors; from those scraps collect samples of at least two different colors. Number the samples and record the scrap from which each sample came (do not reveal this information to the students before the demonstration). Have the students examine the scraps with the naked eye and, if possible, under a microscope. Afterward, ask them to indicate which samples they believe came from the same scraps of material and why.</w:t>
            </w:r>
          </w:p>
          <w:p w:rsidR="00000000" w:rsidDel="00000000" w:rsidP="00000000" w:rsidRDefault="00000000" w:rsidRPr="00000000" w14:paraId="0000025C">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25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How is the hair cuticle used to identify different animal species?</w:t>
            </w:r>
          </w:p>
          <w:p w:rsidR="00000000" w:rsidDel="00000000" w:rsidP="00000000" w:rsidRDefault="00000000" w:rsidRPr="00000000" w14:paraId="0000025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What aspect of the hair cortex is most important for the criminalist and why?</w:t>
            </w:r>
          </w:p>
          <w:p w:rsidR="00000000" w:rsidDel="00000000" w:rsidP="00000000" w:rsidRDefault="00000000" w:rsidRPr="00000000" w14:paraId="0000025F">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What is the follicular tag and why is it important to forensic scientists studying hair?</w:t>
            </w:r>
          </w:p>
          <w:p w:rsidR="00000000" w:rsidDel="00000000" w:rsidP="00000000" w:rsidRDefault="00000000" w:rsidRPr="00000000" w14:paraId="0000026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In comparing two hair samples, what aspects of the hair is the criminalist particularly interested in matching? What other features of hair are important to compare?</w:t>
            </w:r>
          </w:p>
          <w:p w:rsidR="00000000" w:rsidDel="00000000" w:rsidP="00000000" w:rsidRDefault="00000000" w:rsidRPr="00000000" w14:paraId="00000261">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Which of the following cannot be confidently determined by a microscopic examination of hair: age, sex, racial origin, the part of the body from which the hair came, or whether the hair was pulled out or fell out?</w:t>
            </w:r>
          </w:p>
          <w:p w:rsidR="00000000" w:rsidDel="00000000" w:rsidP="00000000" w:rsidRDefault="00000000" w:rsidRPr="00000000" w14:paraId="0000026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Why are most hair specimens collected at crime scenes not good sources of DNA?</w:t>
            </w:r>
          </w:p>
          <w:p w:rsidR="00000000" w:rsidDel="00000000" w:rsidP="00000000" w:rsidRDefault="00000000" w:rsidRPr="00000000" w14:paraId="0000026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What type of hair specimens are potentially the richest source of nuclear DNA and why?</w:t>
            </w:r>
          </w:p>
          <w:p w:rsidR="00000000" w:rsidDel="00000000" w:rsidP="00000000" w:rsidRDefault="00000000" w:rsidRPr="00000000" w14:paraId="0000026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What is mitochondrial DNA and why is it useful in analyzing hair samples?</w:t>
            </w:r>
          </w:p>
          <w:p w:rsidR="00000000" w:rsidDel="00000000" w:rsidP="00000000" w:rsidRDefault="00000000" w:rsidRPr="00000000" w14:paraId="0000026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List three important considerations when submitting hair samples to a crime laboratory.</w:t>
            </w:r>
          </w:p>
          <w:p w:rsidR="00000000" w:rsidDel="00000000" w:rsidP="00000000" w:rsidRDefault="00000000" w:rsidRPr="00000000" w14:paraId="00000266">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How has mass production limited the value of fiber evidence?</w:t>
            </w:r>
          </w:p>
          <w:p w:rsidR="00000000" w:rsidDel="00000000" w:rsidP="00000000" w:rsidRDefault="00000000" w:rsidRPr="00000000" w14:paraId="0000026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What is the first and most important step in the examination of a fiber? What physical characteristics of fibers might help an examiner identify it?</w:t>
            </w:r>
          </w:p>
          <w:p w:rsidR="00000000" w:rsidDel="00000000" w:rsidP="00000000" w:rsidRDefault="00000000" w:rsidRPr="00000000" w14:paraId="00000268">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How can microspectrophotometry and chromatography be used to analyze fiber evidence?</w:t>
            </w:r>
          </w:p>
          <w:p w:rsidR="00000000" w:rsidDel="00000000" w:rsidP="00000000" w:rsidRDefault="00000000" w:rsidRPr="00000000" w14:paraId="0000026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Name two analytical devices used by forensic scientists to determine the class of a fiber.</w:t>
            </w:r>
          </w:p>
          <w:p w:rsidR="00000000" w:rsidDel="00000000" w:rsidP="00000000" w:rsidRDefault="00000000" w:rsidRPr="00000000" w14:paraId="0000026A">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r w:rsidDel="00000000" w:rsidR="00000000" w:rsidRPr="00000000">
              <w:rPr>
                <w:rtl w:val="0"/>
              </w:rPr>
            </w:r>
          </w:p>
          <w:p w:rsidR="00000000" w:rsidDel="00000000" w:rsidP="00000000" w:rsidRDefault="00000000" w:rsidRPr="00000000" w14:paraId="0000026B">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 Padlet. </w:t>
            </w:r>
          </w:p>
          <w:p w:rsidR="00000000" w:rsidDel="00000000" w:rsidP="00000000" w:rsidRDefault="00000000" w:rsidRPr="00000000" w14:paraId="0000026C">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6D">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Tool Marks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2- 80 min blocks)</w:t>
            </w:r>
            <w:r w:rsidDel="00000000" w:rsidR="00000000" w:rsidRPr="00000000">
              <w:rPr>
                <w:rtl w:val="0"/>
              </w:rPr>
            </w:r>
          </w:p>
          <w:p w:rsidR="00000000" w:rsidDel="00000000" w:rsidP="00000000" w:rsidRDefault="00000000" w:rsidRPr="00000000" w14:paraId="0000026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preparation of tool mark casts can readily be accomplished with liquid silicone rubber or silicone rubber putty. Both of these products are available from Sirchie FingerPrint Laboratories, 100 Hunter Place, Youngsville, NC 27596. Alternatively, one can use model clay to make a tool mark cast.</w:t>
            </w:r>
          </w:p>
          <w:p w:rsidR="00000000" w:rsidDel="00000000" w:rsidP="00000000" w:rsidRDefault="00000000" w:rsidRPr="00000000" w14:paraId="0000026F">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Materials</w:t>
            </w:r>
          </w:p>
          <w:p w:rsidR="00000000" w:rsidDel="00000000" w:rsidP="00000000" w:rsidRDefault="00000000" w:rsidRPr="00000000" w14:paraId="00000270">
            <w:pPr>
              <w:numPr>
                <w:ilvl w:val="0"/>
                <w:numId w:val="4"/>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used screwdrivers</w:t>
            </w:r>
          </w:p>
          <w:p w:rsidR="00000000" w:rsidDel="00000000" w:rsidP="00000000" w:rsidRDefault="00000000" w:rsidRPr="00000000" w14:paraId="00000271">
            <w:pPr>
              <w:numPr>
                <w:ilvl w:val="0"/>
                <w:numId w:val="4"/>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Piece of wooden board or stiff cardboard</w:t>
            </w:r>
          </w:p>
          <w:p w:rsidR="00000000" w:rsidDel="00000000" w:rsidP="00000000" w:rsidRDefault="00000000" w:rsidRPr="00000000" w14:paraId="00000272">
            <w:pPr>
              <w:numPr>
                <w:ilvl w:val="0"/>
                <w:numId w:val="4"/>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Jar of Play-Doh or other easy-to-use modeling clay (1 for each group)</w:t>
            </w:r>
          </w:p>
          <w:p w:rsidR="00000000" w:rsidDel="00000000" w:rsidP="00000000" w:rsidRDefault="00000000" w:rsidRPr="00000000" w14:paraId="00000273">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Procedure</w:t>
            </w:r>
          </w:p>
          <w:p w:rsidR="00000000" w:rsidDel="00000000" w:rsidP="00000000" w:rsidRDefault="00000000" w:rsidRPr="00000000" w14:paraId="0000027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marks and other impressions left at a crime scene are most helpful when they exhibit individual characteristics – variations that distinguish one particular tool, tire, or shoe from all others of its type. In this exercise, students will identify tools based on their individual characteristics. Students should be matched up in teams of four or five. Place the screwdrivers on a table where they are accessible to all teams and mark each with an identifying number or letter. Each team places their modeling clay onto the board and molds it into a shape suitable to hold impressions. One team member takes the clay to the table and makes impressions in the clay with three of the screwdrivers, noting on a separate paper which screwdrivers made each impression. When all teams have finished making impressions, teams trade their impressions with another and note which team they trade with. Each team now has 5 minutes to study the impressions and the screwdrivers and determine which ones made the impressions in the clay. The instructor should allow no more than 2 teams to study the screwdrivers at the same time.</w:t>
            </w:r>
          </w:p>
          <w:p w:rsidR="00000000" w:rsidDel="00000000" w:rsidP="00000000" w:rsidRDefault="00000000" w:rsidRPr="00000000" w14:paraId="00000275">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Follow-Up Questions</w:t>
            </w:r>
          </w:p>
          <w:p w:rsidR="00000000" w:rsidDel="00000000" w:rsidP="00000000" w:rsidRDefault="00000000" w:rsidRPr="00000000" w14:paraId="00000276">
            <w:pPr>
              <w:numPr>
                <w:ilvl w:val="0"/>
                <w:numId w:val="5"/>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screwdrivers made the impressions in your clay?  Consult with the team you traded with to determine if you correctly identified all three marks.</w:t>
            </w:r>
          </w:p>
          <w:p w:rsidR="00000000" w:rsidDel="00000000" w:rsidP="00000000" w:rsidRDefault="00000000" w:rsidRPr="00000000" w14:paraId="00000277">
            <w:pPr>
              <w:numPr>
                <w:ilvl w:val="0"/>
                <w:numId w:val="5"/>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some of the marks easier to identify than the others? What factors made identification easier?</w:t>
            </w:r>
          </w:p>
          <w:p w:rsidR="00000000" w:rsidDel="00000000" w:rsidP="00000000" w:rsidRDefault="00000000" w:rsidRPr="00000000" w14:paraId="00000278">
            <w:pPr>
              <w:numPr>
                <w:ilvl w:val="0"/>
                <w:numId w:val="5"/>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marks are often found in harder substances such as wood. How would identifying tool marks in wood be different from identifying them in clay?</w:t>
            </w:r>
          </w:p>
          <w:p w:rsidR="00000000" w:rsidDel="00000000" w:rsidP="00000000" w:rsidRDefault="00000000" w:rsidRPr="00000000" w14:paraId="0000027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27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p>
          <w:p w:rsidR="00000000" w:rsidDel="00000000" w:rsidP="00000000" w:rsidRDefault="00000000" w:rsidRPr="00000000" w14:paraId="0000027B">
            <w:pPr>
              <w:spacing w:after="240" w:before="24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Performance Task 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Footprint Casting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2- 80 min blocks)</w:t>
            </w:r>
            <w:r w:rsidDel="00000000" w:rsidR="00000000" w:rsidRPr="00000000">
              <w:rPr>
                <w:rtl w:val="0"/>
              </w:rPr>
            </w:r>
          </w:p>
          <w:p w:rsidR="00000000" w:rsidDel="00000000" w:rsidP="00000000" w:rsidRDefault="00000000" w:rsidRPr="00000000" w14:paraId="0000027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always require my class to prepare a cast of a footprint in the laboratory. Each student is asked to bring in a shoe box partially filled with soil. Other supplies required are a can of aerosol hair spray with a lacquer base (spraying the lacquer carefully over the impression will harden it); a 5-pound bag of plaster of Paris; several tongue depressors or a length of wire mesh to serve as reinforcing material; and a mixing bowl.</w:t>
            </w:r>
          </w:p>
          <w:p w:rsidR="00000000" w:rsidDel="00000000" w:rsidP="00000000" w:rsidRDefault="00000000" w:rsidRPr="00000000" w14:paraId="0000027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following guidelines should be followed when preparing the cast:</w:t>
            </w:r>
          </w:p>
          <w:p w:rsidR="00000000" w:rsidDel="00000000" w:rsidP="00000000" w:rsidRDefault="00000000" w:rsidRPr="00000000" w14:paraId="0000027E">
            <w:pPr>
              <w:numPr>
                <w:ilvl w:val="0"/>
                <w:numId w:val="2"/>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Spray the lacquer over the impression, being careful not to disturb the details of the impression.</w:t>
            </w:r>
          </w:p>
          <w:p w:rsidR="00000000" w:rsidDel="00000000" w:rsidP="00000000" w:rsidRDefault="00000000" w:rsidRPr="00000000" w14:paraId="0000027F">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the plaster of Paris in two steps. First, add enough plaster to water to make an initial pouring approximately ½ inch thick. The consistency of the mixture should be that of sour cream. Do not pour the material directly onto the impression, but over a tongue depressor or spoon to prevent marring the impression. The cast may then be reinforced with tongue depressors or wire mesh.</w:t>
            </w:r>
          </w:p>
          <w:p w:rsidR="00000000" w:rsidDel="00000000" w:rsidP="00000000" w:rsidRDefault="00000000" w:rsidRPr="00000000" w14:paraId="00000280">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reinforcing the cast, prepare another mixture of plaster of Paris for an additional pouring approximately ½ inch thick.</w:t>
            </w:r>
          </w:p>
          <w:p w:rsidR="00000000" w:rsidDel="00000000" w:rsidP="00000000" w:rsidRDefault="00000000" w:rsidRPr="00000000" w14:paraId="00000281">
            <w:pPr>
              <w:numPr>
                <w:ilvl w:val="0"/>
                <w:numId w:val="2"/>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the plaster completely dries, mark it for identification on the upper surface.</w:t>
            </w:r>
          </w:p>
          <w:p w:rsidR="00000000" w:rsidDel="00000000" w:rsidP="00000000" w:rsidRDefault="00000000" w:rsidRPr="00000000" w14:paraId="0000028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28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p>
          <w:p w:rsidR="00000000" w:rsidDel="00000000" w:rsidP="00000000" w:rsidRDefault="00000000" w:rsidRPr="00000000" w14:paraId="0000028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Performance Task 4</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rtl w:val="0"/>
              </w:rPr>
              <w:t xml:space="preserve">Other Impressions: Lip Prints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(approximately 1- 80 min blocks)</w:t>
            </w:r>
            <w:r w:rsidDel="00000000" w:rsidR="00000000" w:rsidRPr="00000000">
              <w:rPr>
                <w:rtl w:val="0"/>
              </w:rPr>
            </w:r>
          </w:p>
          <w:p w:rsidR="00000000" w:rsidDel="00000000" w:rsidP="00000000" w:rsidRDefault="00000000" w:rsidRPr="00000000" w14:paraId="0000028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demonstration shows how various types of impressions can be used to help solve a crime. You will need the following items:</w:t>
            </w:r>
          </w:p>
          <w:p w:rsidR="00000000" w:rsidDel="00000000" w:rsidP="00000000" w:rsidRDefault="00000000" w:rsidRPr="00000000" w14:paraId="00000286">
            <w:pPr>
              <w:numPr>
                <w:ilvl w:val="0"/>
                <w:numId w:val="6"/>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 tubes of red lipstick (all the same color)</w:t>
            </w:r>
          </w:p>
          <w:p w:rsidR="00000000" w:rsidDel="00000000" w:rsidP="00000000" w:rsidRDefault="00000000" w:rsidRPr="00000000" w14:paraId="00000287">
            <w:pPr>
              <w:numPr>
                <w:ilvl w:val="0"/>
                <w:numId w:val="6"/>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pieces of white paper</w:t>
            </w:r>
          </w:p>
          <w:p w:rsidR="00000000" w:rsidDel="00000000" w:rsidP="00000000" w:rsidRDefault="00000000" w:rsidRPr="00000000" w14:paraId="00000288">
            <w:pPr>
              <w:numPr>
                <w:ilvl w:val="0"/>
                <w:numId w:val="6"/>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Stereomicroscope</w:t>
            </w:r>
          </w:p>
          <w:p w:rsidR="00000000" w:rsidDel="00000000" w:rsidP="00000000" w:rsidRDefault="00000000" w:rsidRPr="00000000" w14:paraId="00000289">
            <w:pPr>
              <w:numPr>
                <w:ilvl w:val="0"/>
                <w:numId w:val="6"/>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Ruler</w:t>
            </w:r>
          </w:p>
          <w:p w:rsidR="00000000" w:rsidDel="00000000" w:rsidP="00000000" w:rsidRDefault="00000000" w:rsidRPr="00000000" w14:paraId="0000028A">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Scenario</w:t>
            </w:r>
          </w:p>
          <w:p w:rsidR="00000000" w:rsidDel="00000000" w:rsidP="00000000" w:rsidRDefault="00000000" w:rsidRPr="00000000" w14:paraId="0000028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month the local women’s club sponsors a luncheon at which several prospective new members are invited to attend. This month’s meeting was held at the home of club president Janet Graves. Ms. Graves asks the prospective members to wait in her sunroom while the regular members hold a brief business meeting. While they wait they are served lemonade in crystal glasses. Later that day, after the luncheon, Ms. Graves notices that a diamond necklace is missing from her bedroom. When the police arrive they notice a crystal glass in the room with red lipstick on the rim. Ms. Graves states that it must have been used by one of the guests, because she does not wear red lipstick. Suspecting that the person who used the glass was probably the one who stole the necklace, police lift lip prints from the glass. After collecting the names of the prospective members, police visit each woman and take her lip prints for comparison to the prints on the glass.</w:t>
            </w:r>
          </w:p>
          <w:p w:rsidR="00000000" w:rsidDel="00000000" w:rsidP="00000000" w:rsidRDefault="00000000" w:rsidRPr="00000000" w14:paraId="0000028C">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Divide the students into investigative teams. Choose six students at random as “suspects” and give each six pieces of paper and a tube of lipstick. Have each suspect apply the lipstick, fold each sheet of paper in half, and blot her lips on the paper, making sure not to smudge the lip print. This way you will have six lip prints for each suspect. Have each suspect write her name on a piece of notebook paper and attach the papers with the lip prints to the notebook paper. Each suspect gives the prints to the instructor, who will decide which print matches those found at the scene.</w:t>
            </w:r>
          </w:p>
          <w:p w:rsidR="00000000" w:rsidDel="00000000" w:rsidP="00000000" w:rsidRDefault="00000000" w:rsidRPr="00000000" w14:paraId="0000028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Place the print chosen as the crime scene print under the stereomicroscope. Have one member of each team sketch the print, noting any special characteristics as well as the line patterns in the print. Now have each suspect apply lipstick and make a lip print for the class. Write the person’s name on the paper containing the print. Now have the teams examine each of these prints under the stereomicroscope, then sketch and make notes on them.</w:t>
            </w:r>
          </w:p>
          <w:p w:rsidR="00000000" w:rsidDel="00000000" w:rsidP="00000000" w:rsidRDefault="00000000" w:rsidRPr="00000000" w14:paraId="0000028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After students have completed sketching and note taking, ask them to answer the following questions: Which suspect left the prints on the glass found in the bedroom? What features of the suspect lip prints led you to this conclusion? Is this enough evidence to convict the suspect of theft? Why or why not?</w:t>
            </w:r>
          </w:p>
          <w:p w:rsidR="00000000" w:rsidDel="00000000" w:rsidP="00000000" w:rsidRDefault="00000000" w:rsidRPr="00000000" w14:paraId="0000028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290">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2A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2B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2B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2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2B6">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2B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2B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2B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2BB">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2B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2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2C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2C9">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2CA">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C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2D1">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2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EF">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2F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F1">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F2">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F3">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F4">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F5">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F6">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F7">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F8">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F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2F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F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F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F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F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3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3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Hair Analysis</w:t>
            </w:r>
          </w:p>
          <w:p w:rsidR="00000000" w:rsidDel="00000000" w:rsidP="00000000" w:rsidRDefault="00000000" w:rsidRPr="00000000" w14:paraId="000003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Animal Hair Analysis</w:t>
            </w:r>
          </w:p>
          <w:p w:rsidR="00000000" w:rsidDel="00000000" w:rsidP="00000000" w:rsidRDefault="00000000" w:rsidRPr="00000000" w14:paraId="000003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Fiber Analysis</w:t>
            </w:r>
          </w:p>
          <w:p w:rsidR="00000000" w:rsidDel="00000000" w:rsidP="00000000" w:rsidRDefault="00000000" w:rsidRPr="00000000" w14:paraId="000003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Ballistics Trajectory Calculations</w:t>
            </w:r>
          </w:p>
          <w:p w:rsidR="00000000" w:rsidDel="00000000" w:rsidP="00000000" w:rsidRDefault="00000000" w:rsidRPr="00000000" w14:paraId="000003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Nova Documentary: JFK Assassination</w:t>
            </w:r>
          </w:p>
          <w:p w:rsidR="00000000" w:rsidDel="00000000" w:rsidP="00000000" w:rsidRDefault="00000000" w:rsidRPr="00000000" w14:paraId="000003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Glass Analysis and Snell’s Law</w:t>
            </w:r>
          </w:p>
          <w:p w:rsidR="00000000" w:rsidDel="00000000" w:rsidP="00000000" w:rsidRDefault="00000000" w:rsidRPr="00000000" w14:paraId="00000315">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Toolmark Analysis</w:t>
            </w:r>
          </w:p>
          <w:p w:rsidR="00000000" w:rsidDel="00000000" w:rsidP="00000000" w:rsidRDefault="00000000" w:rsidRPr="00000000" w14:paraId="0000031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Teeth Impression</w:t>
            </w:r>
          </w:p>
          <w:p w:rsidR="00000000" w:rsidDel="00000000" w:rsidP="00000000" w:rsidRDefault="00000000" w:rsidRPr="00000000" w14:paraId="000003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Shoe Impressions</w:t>
            </w:r>
          </w:p>
          <w:p w:rsidR="00000000" w:rsidDel="00000000" w:rsidP="00000000" w:rsidRDefault="00000000" w:rsidRPr="00000000" w14:paraId="00000318">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Science Spot  </w:t>
            </w:r>
            <w:hyperlink r:id="rId11">
              <w:r w:rsidDel="00000000" w:rsidR="00000000" w:rsidRPr="00000000">
                <w:rPr>
                  <w:rFonts w:ascii="Times New Roman" w:cs="Times New Roman" w:eastAsia="Times New Roman" w:hAnsi="Times New Roman"/>
                  <w:color w:val="0000ff"/>
                  <w:u w:val="single"/>
                  <w:rtl w:val="0"/>
                </w:rPr>
                <w:t xml:space="preserve">http://sciencespot.net/Pages/classforsci.html</w:t>
              </w:r>
            </w:hyperlink>
            <w:r w:rsidDel="00000000" w:rsidR="00000000" w:rsidRPr="00000000">
              <w:rPr>
                <w:rtl w:val="0"/>
              </w:rPr>
            </w:r>
          </w:p>
          <w:p w:rsidR="00000000" w:rsidDel="00000000" w:rsidP="00000000" w:rsidRDefault="00000000" w:rsidRPr="00000000" w14:paraId="00000319">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OREGON STATE POLICE FORENSIC SERVICES DIVISION - </w:t>
            </w:r>
            <w:hyperlink r:id="rId12">
              <w:r w:rsidDel="00000000" w:rsidR="00000000" w:rsidRPr="00000000">
                <w:rPr>
                  <w:rFonts w:ascii="Times New Roman" w:cs="Times New Roman" w:eastAsia="Times New Roman" w:hAnsi="Times New Roman"/>
                  <w:color w:val="0000ff"/>
                  <w:highlight w:val="white"/>
                  <w:u w:val="single"/>
                  <w:rtl w:val="0"/>
                </w:rPr>
                <w:t xml:space="preserve">http://www.crime-scene-investigator.net/Phys_Evid_Manual_OR.pdf</w:t>
              </w:r>
            </w:hyperlink>
            <w:r w:rsidDel="00000000" w:rsidR="00000000" w:rsidRPr="00000000">
              <w:rPr>
                <w:rtl w:val="0"/>
              </w:rPr>
            </w:r>
          </w:p>
          <w:p w:rsidR="00000000" w:rsidDel="00000000" w:rsidP="00000000" w:rsidRDefault="00000000" w:rsidRPr="00000000" w14:paraId="0000031A">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World of Forensic Science -</w:t>
            </w:r>
            <w:hyperlink r:id="rId13">
              <w:r w:rsidDel="00000000" w:rsidR="00000000" w:rsidRPr="00000000">
                <w:rPr>
                  <w:rFonts w:ascii="Times New Roman" w:cs="Times New Roman" w:eastAsia="Times New Roman" w:hAnsi="Times New Roman"/>
                  <w:color w:val="0000ff"/>
                  <w:highlight w:val="white"/>
                  <w:u w:val="single"/>
                  <w:rtl w:val="0"/>
                </w:rPr>
                <w:t xml:space="preserve">http://www.encyclopedia.com/doc/1G2-3448300449.html</w:t>
              </w:r>
            </w:hyperlink>
            <w:r w:rsidDel="00000000" w:rsidR="00000000" w:rsidRPr="00000000">
              <w:rPr>
                <w:rtl w:val="0"/>
              </w:rPr>
            </w:r>
          </w:p>
          <w:p w:rsidR="00000000" w:rsidDel="00000000" w:rsidP="00000000" w:rsidRDefault="00000000" w:rsidRPr="00000000" w14:paraId="0000031B">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BSAPP Forensics -</w:t>
            </w:r>
            <w:hyperlink r:id="rId14">
              <w:r w:rsidDel="00000000" w:rsidR="00000000" w:rsidRPr="00000000">
                <w:rPr>
                  <w:rFonts w:ascii="Times New Roman" w:cs="Times New Roman" w:eastAsia="Times New Roman" w:hAnsi="Times New Roman"/>
                  <w:color w:val="0000ff"/>
                  <w:highlight w:val="white"/>
                  <w:u w:val="single"/>
                  <w:rtl w:val="0"/>
                </w:rPr>
                <w:t xml:space="preserve">http://www.bsapp.com/forensics_illustrated/forensic_text_adobe/text_unit_2_physical_evidence.pdf</w:t>
              </w:r>
            </w:hyperlink>
            <w:r w:rsidDel="00000000" w:rsidR="00000000" w:rsidRPr="00000000">
              <w:rPr>
                <w:rtl w:val="0"/>
              </w:rPr>
            </w:r>
          </w:p>
          <w:p w:rsidR="00000000" w:rsidDel="00000000" w:rsidP="00000000" w:rsidRDefault="00000000" w:rsidRPr="00000000" w14:paraId="0000031C">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Dentistry </w:t>
            </w:r>
            <w:hyperlink r:id="rId15">
              <w:r w:rsidDel="00000000" w:rsidR="00000000" w:rsidRPr="00000000">
                <w:rPr>
                  <w:rFonts w:ascii="Times New Roman" w:cs="Times New Roman" w:eastAsia="Times New Roman" w:hAnsi="Times New Roman"/>
                  <w:color w:val="0000ff"/>
                  <w:u w:val="single"/>
                  <w:rtl w:val="0"/>
                </w:rPr>
                <w:t xml:space="preserve">http://science.howstuffworks.com/forensic-dentistry.htm</w:t>
              </w:r>
            </w:hyperlink>
            <w:r w:rsidDel="00000000" w:rsidR="00000000" w:rsidRPr="00000000">
              <w:rPr>
                <w:rtl w:val="0"/>
              </w:rPr>
            </w:r>
          </w:p>
          <w:p w:rsidR="00000000" w:rsidDel="00000000" w:rsidP="00000000" w:rsidRDefault="00000000" w:rsidRPr="00000000" w14:paraId="0000031D">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Ballistics Webquest </w:t>
            </w:r>
            <w:hyperlink r:id="rId16">
              <w:r w:rsidDel="00000000" w:rsidR="00000000" w:rsidRPr="00000000">
                <w:rPr>
                  <w:rFonts w:ascii="Times New Roman" w:cs="Times New Roman" w:eastAsia="Times New Roman" w:hAnsi="Times New Roman"/>
                  <w:color w:val="0000ff"/>
                  <w:u w:val="single"/>
                  <w:rtl w:val="0"/>
                </w:rPr>
                <w:t xml:space="preserve">http://www.firearmsid.com/</w:t>
              </w:r>
            </w:hyperlink>
            <w:r w:rsidDel="00000000" w:rsidR="00000000" w:rsidRPr="00000000">
              <w:rPr>
                <w:rtl w:val="0"/>
              </w:rPr>
            </w:r>
          </w:p>
          <w:p w:rsidR="00000000" w:rsidDel="00000000" w:rsidP="00000000" w:rsidRDefault="00000000" w:rsidRPr="00000000" w14:paraId="0000031E">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Forensics Library </w:t>
            </w:r>
            <w:hyperlink r:id="rId17">
              <w:r w:rsidDel="00000000" w:rsidR="00000000" w:rsidRPr="00000000">
                <w:rPr>
                  <w:rFonts w:ascii="Times New Roman" w:cs="Times New Roman" w:eastAsia="Times New Roman" w:hAnsi="Times New Roman"/>
                  <w:color w:val="0000ff"/>
                  <w:u w:val="single"/>
                  <w:rtl w:val="0"/>
                </w:rPr>
                <w:t xml:space="preserve">http://aboutforensics.co.uk/firearms-ballistics/</w:t>
              </w:r>
            </w:hyperlink>
            <w:r w:rsidDel="00000000" w:rsidR="00000000" w:rsidRPr="00000000">
              <w:rPr>
                <w:rtl w:val="0"/>
              </w:rPr>
            </w:r>
          </w:p>
          <w:p w:rsidR="00000000" w:rsidDel="00000000" w:rsidP="00000000" w:rsidRDefault="00000000" w:rsidRPr="00000000" w14:paraId="0000031F">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Firearms Tutorial </w:t>
            </w:r>
            <w:hyperlink r:id="rId18">
              <w:r w:rsidDel="00000000" w:rsidR="00000000" w:rsidRPr="00000000">
                <w:rPr>
                  <w:rFonts w:ascii="Times New Roman" w:cs="Times New Roman" w:eastAsia="Times New Roman" w:hAnsi="Times New Roman"/>
                  <w:color w:val="0000ff"/>
                  <w:u w:val="single"/>
                  <w:rtl w:val="0"/>
                </w:rPr>
                <w:t xml:space="preserve">http://library.med.utah.edu/WebPath/TUTORIAL/GUNS/GUNINTRO.html</w:t>
              </w:r>
            </w:hyperlink>
            <w:r w:rsidDel="00000000" w:rsidR="00000000" w:rsidRPr="00000000">
              <w:rPr>
                <w:rtl w:val="0"/>
              </w:rPr>
            </w:r>
          </w:p>
          <w:p w:rsidR="00000000" w:rsidDel="00000000" w:rsidP="00000000" w:rsidRDefault="00000000" w:rsidRPr="00000000" w14:paraId="00000320">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Footwear and Tire track Examination </w:t>
            </w:r>
            <w:hyperlink r:id="rId19">
              <w:r w:rsidDel="00000000" w:rsidR="00000000" w:rsidRPr="00000000">
                <w:rPr>
                  <w:rFonts w:ascii="Times New Roman" w:cs="Times New Roman" w:eastAsia="Times New Roman" w:hAnsi="Times New Roman"/>
                  <w:color w:val="0000ff"/>
                  <w:u w:val="single"/>
                  <w:rtl w:val="0"/>
                </w:rPr>
                <w:t xml:space="preserve">http://www.forensicsciencesimplified.org/fwtt/how.html</w:t>
              </w:r>
            </w:hyperlink>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32F">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330">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bore, breech face, caliber, choke, distance determination, ejector, extractor, firearms identification, gauge, Greiss test, grooves, lands, rifling, snell’s aw, refraction, radial fracture, density, anagen phase, catagen phase, cortex, cuticle, follicular tag, macromolecule, manufactured fibers, medulla, mitochondrial DNA, molecule, monomer, natural fiber, nuclear DNA, polymer, telogen phase.</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33F">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340">
            <w:pPr>
              <w:spacing w:before="120" w:line="246.99999999999994"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English Language Arts/Literacy – </w:t>
            </w:r>
          </w:p>
          <w:p w:rsidR="00000000" w:rsidDel="00000000" w:rsidP="00000000" w:rsidRDefault="00000000" w:rsidRPr="00000000" w14:paraId="0000034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RST.11-12.2.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RST.11-12.3.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RST.11-12.4.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RST.11-12.8.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RST.11-12.9. 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346">
            <w:pPr>
              <w:spacing w:before="120" w:line="259"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347">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B. Communication</w:t>
            </w:r>
          </w:p>
          <w:p w:rsidR="00000000" w:rsidDel="00000000" w:rsidP="00000000" w:rsidRDefault="00000000" w:rsidRPr="00000000" w14:paraId="00000348">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349">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  Communicate their mathematical thinking coherently and clearly to peers, teachers, and others, both orally and in writing.</w:t>
            </w:r>
          </w:p>
          <w:p w:rsidR="00000000" w:rsidDel="00000000" w:rsidP="00000000" w:rsidRDefault="00000000" w:rsidRPr="00000000" w14:paraId="0000034A">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Analyze and evaluate the mathematical thinking and strategies of others.</w:t>
            </w:r>
          </w:p>
          <w:p w:rsidR="00000000" w:rsidDel="00000000" w:rsidP="00000000" w:rsidRDefault="00000000" w:rsidRPr="00000000" w14:paraId="0000034B">
            <w:pPr>
              <w:spacing w:after="12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34C">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  Recognize that mathematics is used in a variety of contexts outside of mathematics.</w:t>
            </w:r>
          </w:p>
          <w:p w:rsidR="00000000" w:rsidDel="00000000" w:rsidP="00000000" w:rsidRDefault="00000000" w:rsidRPr="00000000" w14:paraId="0000034D">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Apply mathematics in practical situations and in other disciplines.</w:t>
            </w:r>
          </w:p>
          <w:p w:rsidR="00000000" w:rsidDel="00000000" w:rsidP="00000000" w:rsidRDefault="00000000" w:rsidRPr="00000000" w14:paraId="0000034E">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 Reasoning</w:t>
            </w:r>
          </w:p>
          <w:p w:rsidR="00000000" w:rsidDel="00000000" w:rsidP="00000000" w:rsidRDefault="00000000" w:rsidRPr="00000000" w14:paraId="0000034F">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350">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5.  Make and investigate mathematical conjectures</w:t>
            </w:r>
          </w:p>
          <w:p w:rsidR="00000000" w:rsidDel="00000000" w:rsidP="00000000" w:rsidRDefault="00000000" w:rsidRPr="00000000" w14:paraId="00000351">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E Representations</w:t>
            </w:r>
          </w:p>
          <w:p w:rsidR="00000000" w:rsidDel="00000000" w:rsidP="00000000" w:rsidRDefault="00000000" w:rsidRPr="00000000" w14:paraId="00000352">
            <w:pPr>
              <w:spacing w:after="120" w:before="120" w:lineRule="auto"/>
              <w:ind w:left="63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 xml:space="preserve">  1.  Create and use representations to organize, record, and communicate mathematical ideas as pictorial or symbolic.</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361">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363">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374">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0">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p>
        </w:tc>
      </w:tr>
    </w:tbl>
    <w:p w:rsidR="00000000" w:rsidDel="00000000" w:rsidP="00000000" w:rsidRDefault="00000000" w:rsidRPr="00000000" w14:paraId="0000038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Modifications </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38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38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38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38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38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38E">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21">
              <w:r w:rsidDel="00000000" w:rsidR="00000000" w:rsidRPr="00000000">
                <w:rPr>
                  <w:rFonts w:ascii="Times New Roman" w:cs="Times New Roman" w:eastAsia="Times New Roman" w:hAnsi="Times New Roman"/>
                  <w:rtl w:val="0"/>
                </w:rPr>
                <w:t xml:space="preserve"> </w:t>
              </w:r>
            </w:hyperlink>
            <w:hyperlink r:id="rId22">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38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390">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3">
              <w:r w:rsidDel="00000000" w:rsidR="00000000" w:rsidRPr="00000000">
                <w:rPr>
                  <w:rFonts w:ascii="Times New Roman" w:cs="Times New Roman" w:eastAsia="Times New Roman" w:hAnsi="Times New Roman"/>
                  <w:rtl w:val="0"/>
                </w:rPr>
                <w:t xml:space="preserve"> </w:t>
              </w:r>
            </w:hyperlink>
            <w:hyperlink r:id="rId24">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39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39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39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39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39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39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39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25">
              <w:r w:rsidDel="00000000" w:rsidR="00000000" w:rsidRPr="00000000">
                <w:rPr>
                  <w:rFonts w:ascii="Times New Roman" w:cs="Times New Roman" w:eastAsia="Times New Roman" w:hAnsi="Times New Roman"/>
                  <w:rtl w:val="0"/>
                </w:rPr>
                <w:t xml:space="preserve"> </w:t>
              </w:r>
            </w:hyperlink>
            <w:hyperlink r:id="rId2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39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39A">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39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39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3A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3A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3A2">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3A3">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3A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3A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3A6">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3A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3A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3A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3A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3A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3AD">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3AE">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31">
              <w:r w:rsidDel="00000000" w:rsidR="00000000" w:rsidRPr="00000000">
                <w:rPr>
                  <w:rFonts w:ascii="Times New Roman" w:cs="Times New Roman" w:eastAsia="Times New Roman" w:hAnsi="Times New Roman"/>
                  <w:rtl w:val="0"/>
                </w:rPr>
                <w:t xml:space="preserve"> </w:t>
              </w:r>
            </w:hyperlink>
            <w:hyperlink r:id="rId32">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3AF">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3B0">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3B1">
      <w:pPr>
        <w:spacing w:after="0" w:line="240" w:lineRule="auto"/>
        <w:rPr>
          <w:rFonts w:ascii="Times New Roman" w:cs="Times New Roman" w:eastAsia="Times New Roman" w:hAnsi="Times New Roman"/>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3B3">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3B4">
            <w:pPr>
              <w:widowControl w:val="0"/>
              <w:spacing w:after="0" w:line="240" w:lineRule="auto"/>
              <w:ind w:left="120" w:right="120" w:firstLine="0"/>
              <w:jc w:val="center"/>
              <w:rPr>
                <w:rFonts w:ascii="Times New Roman" w:cs="Times New Roman" w:eastAsia="Times New Roman" w:hAnsi="Times New Roman"/>
                <w:color w:val="1155cc"/>
                <w:u w:val="single"/>
              </w:rPr>
            </w:pPr>
            <w:hyperlink r:id="rId33">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3B7">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3B8">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3B9">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3BA">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3BB">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3BD">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3BE">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3BF">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3C0">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3C1">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2">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3C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5">
      <w:pPr>
        <w:spacing w:after="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3C6">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3C7">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3C8">
            <w:pPr>
              <w:widowControl w:val="0"/>
              <w:spacing w:after="0" w:line="240" w:lineRule="auto"/>
              <w:ind w:left="-720" w:firstLine="0"/>
              <w:jc w:val="center"/>
              <w:rPr>
                <w:rFonts w:ascii="Times New Roman" w:cs="Times New Roman" w:eastAsia="Times New Roman" w:hAnsi="Times New Roman"/>
                <w:b w:val="1"/>
                <w:color w:val="1155cc"/>
                <w:u w:val="single"/>
              </w:rPr>
            </w:pPr>
            <w:hyperlink r:id="rId34">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A">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3CB">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CC">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3CD">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CE">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3CF">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3D0">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3D1">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3D2">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3D3">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4">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3D5">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D6">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3D7">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D8">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3D9">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3DA">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3DB">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3D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3D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DF">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E0">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b w:val="1"/>
        </w:rPr>
      </w:pPr>
      <w:r w:rsidDel="00000000" w:rsidR="00000000" w:rsidRPr="00000000">
        <w:rPr>
          <w:rtl w:val="0"/>
        </w:rPr>
      </w:r>
    </w:p>
    <w:sectPr>
      <w:headerReference r:id="rId35" w:type="default"/>
      <w:headerReference r:id="rId36" w:type="first"/>
      <w:headerReference r:id="rId37" w:type="even"/>
      <w:footerReference r:id="rId38" w:type="default"/>
      <w:footerReference r:id="rId39" w:type="first"/>
      <w:footerReference r:id="rId4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docs.google.com/document/d/1pnhOLggfrlSEM64QZo-A4KUgBhP6Rs2B4GdEqURonaQ/edit" TargetMode="External"/><Relationship Id="rId22" Type="http://schemas.openxmlformats.org/officeDocument/2006/relationships/hyperlink" Target="https://drive.google.com/file/d/1ezZ9goEaY-5BfQSeY_-ZftWm6bI0HptK/view?usp=sharing" TargetMode="External"/><Relationship Id="rId21" Type="http://schemas.openxmlformats.org/officeDocument/2006/relationships/hyperlink" Target="https://drive.google.com/file/d/1ezZ9goEaY-5BfQSeY_-ZftWm6bI0HptK/view?usp=sharing" TargetMode="External"/><Relationship Id="rId24" Type="http://schemas.openxmlformats.org/officeDocument/2006/relationships/hyperlink" Target="https://drive.google.com/open?id=1J0mPbnb0pIlJk1VMCB8725ClGH3KNVP6" TargetMode="External"/><Relationship Id="rId23" Type="http://schemas.openxmlformats.org/officeDocument/2006/relationships/hyperlink" Target="https://drive.google.com/open?id=1J0mPbnb0pIlJk1VMCB8725ClGH3KNVP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xtgenscience.org/2ess2-earth-systems#framework" TargetMode="External"/><Relationship Id="rId26" Type="http://schemas.openxmlformats.org/officeDocument/2006/relationships/hyperlink" Target="https://drive.google.com/open?id=11OPlRBw6Gpa1TrJdZydunDjNfcgRtkJA" TargetMode="External"/><Relationship Id="rId25" Type="http://schemas.openxmlformats.org/officeDocument/2006/relationships/hyperlink" Target="https://drive.google.com/open?id=11OPlRBw6Gpa1TrJdZydunDjNfcgRtkJA" TargetMode="External"/><Relationship Id="rId28" Type="http://schemas.openxmlformats.org/officeDocument/2006/relationships/hyperlink" Target="https://drive.google.com/open?id=1J0mPbnb0pIlJk1VMCB8725ClGH3KNVP6" TargetMode="External"/><Relationship Id="rId27" Type="http://schemas.openxmlformats.org/officeDocument/2006/relationships/hyperlink" Target="https://drive.google.com/open?id=1J0mPbnb0pIlJk1VMCB8725ClGH3KNVP6" TargetMode="External"/><Relationship Id="rId5" Type="http://schemas.openxmlformats.org/officeDocument/2006/relationships/styles" Target="styles.xml"/><Relationship Id="rId6" Type="http://schemas.openxmlformats.org/officeDocument/2006/relationships/hyperlink" Target="http://www.nextgenscience.org/sites/ngss/files/How%20to%20Read%20NGSS%20-%20Final%2008.19.13.pdf" TargetMode="External"/><Relationship Id="rId29" Type="http://schemas.openxmlformats.org/officeDocument/2006/relationships/hyperlink" Target="https://drive.google.com/open?id=1J0mPbnb0pIlJk1VMCB8725ClGH3KNVP6" TargetMode="External"/><Relationship Id="rId7" Type="http://schemas.openxmlformats.org/officeDocument/2006/relationships/hyperlink" Target="http://www.nextgenscience.org/sites/ngss/files/Front%20Matter%20Evidence%20Statements%20PDF%20Jan%202015_1.pdf" TargetMode="External"/><Relationship Id="rId8" Type="http://schemas.openxmlformats.org/officeDocument/2006/relationships/hyperlink" Target="http://www.nextgenscience.org/2ess2-earth-systems#framework" TargetMode="External"/><Relationship Id="rId31" Type="http://schemas.openxmlformats.org/officeDocument/2006/relationships/hyperlink" Target="https://drive.google.com/open?id=1J0mPbnb0pIlJk1VMCB8725ClGH3KNVP6" TargetMode="External"/><Relationship Id="rId30" Type="http://schemas.openxmlformats.org/officeDocument/2006/relationships/hyperlink" Target="https://drive.google.com/open?id=1J0mPbnb0pIlJk1VMCB8725ClGH3KNVP6" TargetMode="External"/><Relationship Id="rId11" Type="http://schemas.openxmlformats.org/officeDocument/2006/relationships/hyperlink" Target="http://sciencespot.net/Pages/classforsci.html" TargetMode="External"/><Relationship Id="rId33" Type="http://schemas.openxmlformats.org/officeDocument/2006/relationships/hyperlink" Target="https://www.state.nj.us/education/cccs/2014/career/9.pdf" TargetMode="External"/><Relationship Id="rId10" Type="http://schemas.openxmlformats.org/officeDocument/2006/relationships/hyperlink" Target="http://www.nextgenscience.org/2ess2-earth-systems#framework" TargetMode="External"/><Relationship Id="rId32" Type="http://schemas.openxmlformats.org/officeDocument/2006/relationships/hyperlink" Target="https://drive.google.com/open?id=1J0mPbnb0pIlJk1VMCB8725ClGH3KNVP6" TargetMode="External"/><Relationship Id="rId13" Type="http://schemas.openxmlformats.org/officeDocument/2006/relationships/hyperlink" Target="http://www.encyclopedia.com/doc/1G2-3448300449.html" TargetMode="External"/><Relationship Id="rId35" Type="http://schemas.openxmlformats.org/officeDocument/2006/relationships/header" Target="header1.xml"/><Relationship Id="rId12" Type="http://schemas.openxmlformats.org/officeDocument/2006/relationships/hyperlink" Target="http://www.crime-scene-investigator.net/Phys_Evid_Manual_OR.pdf" TargetMode="External"/><Relationship Id="rId34" Type="http://schemas.openxmlformats.org/officeDocument/2006/relationships/hyperlink" Target="https://www.state.nj.us/education/cccs/2014/tech/" TargetMode="External"/><Relationship Id="rId15" Type="http://schemas.openxmlformats.org/officeDocument/2006/relationships/hyperlink" Target="http://science.howstuffworks.com/forensic-dentistry.htm" TargetMode="External"/><Relationship Id="rId37" Type="http://schemas.openxmlformats.org/officeDocument/2006/relationships/header" Target="header2.xml"/><Relationship Id="rId14" Type="http://schemas.openxmlformats.org/officeDocument/2006/relationships/hyperlink" Target="http://www.bsapp.com/forensics_illustrated/forensic_text_adobe/text_unit_2_physical_evidence.pdf" TargetMode="External"/><Relationship Id="rId36" Type="http://schemas.openxmlformats.org/officeDocument/2006/relationships/header" Target="header3.xml"/><Relationship Id="rId17" Type="http://schemas.openxmlformats.org/officeDocument/2006/relationships/hyperlink" Target="http://aboutforensics.co.uk/firearms-ballistics/" TargetMode="External"/><Relationship Id="rId39" Type="http://schemas.openxmlformats.org/officeDocument/2006/relationships/footer" Target="footer2.xml"/><Relationship Id="rId16" Type="http://schemas.openxmlformats.org/officeDocument/2006/relationships/hyperlink" Target="http://www.firearmsid.com/" TargetMode="External"/><Relationship Id="rId38" Type="http://schemas.openxmlformats.org/officeDocument/2006/relationships/footer" Target="footer3.xml"/><Relationship Id="rId19" Type="http://schemas.openxmlformats.org/officeDocument/2006/relationships/hyperlink" Target="http://www.forensicsciencesimplified.org/fwtt/how.html" TargetMode="External"/><Relationship Id="rId18" Type="http://schemas.openxmlformats.org/officeDocument/2006/relationships/hyperlink" Target="http://library.med.utah.edu/WebPath/TUTORIAL/GUNS/GUNINTR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